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6E877" w14:textId="77777777" w:rsidR="00634181" w:rsidRDefault="00634181" w:rsidP="00634181">
      <w:pPr>
        <w:pStyle w:val="Default"/>
      </w:pPr>
    </w:p>
    <w:p w14:paraId="1EC111F9" w14:textId="6734B8D9" w:rsidR="00634181" w:rsidRDefault="00634181" w:rsidP="00634181">
      <w:pPr>
        <w:pStyle w:val="Default"/>
        <w:jc w:val="center"/>
        <w:rPr>
          <w:b/>
          <w:bCs/>
          <w:sz w:val="23"/>
          <w:szCs w:val="23"/>
        </w:rPr>
      </w:pPr>
      <w:r>
        <w:rPr>
          <w:b/>
          <w:bCs/>
          <w:sz w:val="23"/>
          <w:szCs w:val="23"/>
        </w:rPr>
        <w:t>Quality Assurance of ECT Induction</w:t>
      </w:r>
    </w:p>
    <w:p w14:paraId="6CA44654" w14:textId="77777777" w:rsidR="00634181" w:rsidRDefault="00634181" w:rsidP="00634181">
      <w:pPr>
        <w:pStyle w:val="Default"/>
        <w:jc w:val="center"/>
        <w:rPr>
          <w:sz w:val="23"/>
          <w:szCs w:val="23"/>
        </w:rPr>
      </w:pPr>
    </w:p>
    <w:p w14:paraId="6FDB30C8" w14:textId="123AC8D8" w:rsidR="00634181" w:rsidRDefault="00634181" w:rsidP="00634181">
      <w:pPr>
        <w:pStyle w:val="Default"/>
        <w:rPr>
          <w:sz w:val="23"/>
          <w:szCs w:val="23"/>
        </w:rPr>
      </w:pPr>
      <w:r>
        <w:rPr>
          <w:sz w:val="23"/>
          <w:szCs w:val="23"/>
        </w:rPr>
        <w:t xml:space="preserve">As an Appropriate Body for ECT induction, Cambridgeshire &amp; Peterborough Teaching School Hub are responsible for quality assuring the school-based support for ECTs registered with us. As part of this process, school visits will be made each year to a sample of schools with ECTs. These visits will be made by representatives of the Appropriate Body and schools will be consulted in advance. </w:t>
      </w:r>
    </w:p>
    <w:p w14:paraId="7437C93A" w14:textId="77777777" w:rsidR="00634181" w:rsidRDefault="00634181" w:rsidP="00634181">
      <w:pPr>
        <w:pStyle w:val="Default"/>
        <w:rPr>
          <w:sz w:val="23"/>
          <w:szCs w:val="23"/>
        </w:rPr>
      </w:pPr>
    </w:p>
    <w:p w14:paraId="0F8797BB" w14:textId="77777777" w:rsidR="00634181" w:rsidRDefault="00634181" w:rsidP="00634181">
      <w:pPr>
        <w:pStyle w:val="Default"/>
        <w:rPr>
          <w:sz w:val="23"/>
          <w:szCs w:val="23"/>
        </w:rPr>
      </w:pPr>
      <w:r>
        <w:rPr>
          <w:sz w:val="23"/>
          <w:szCs w:val="23"/>
        </w:rPr>
        <w:t>General quality assurance visits are undertaken primarily to ensure that schools are providing appropriate monitoring, support, assessment and guidance for their ECTs. During the visit, the school’s procedures and documentation will be examined and discussed with appropriate members of staff, as well as a discussion with the ECT(s). The visit aims to provide an opportunity for professional dialogue with an Appropriate Body representative and formative feedback on the school’s induction procedures.</w:t>
      </w:r>
    </w:p>
    <w:p w14:paraId="46EB52C1" w14:textId="1B2FB035" w:rsidR="00634181" w:rsidRDefault="00634181" w:rsidP="00634181">
      <w:pPr>
        <w:pStyle w:val="Default"/>
        <w:rPr>
          <w:sz w:val="23"/>
          <w:szCs w:val="23"/>
        </w:rPr>
      </w:pPr>
      <w:r>
        <w:rPr>
          <w:sz w:val="23"/>
          <w:szCs w:val="23"/>
        </w:rPr>
        <w:t xml:space="preserve"> </w:t>
      </w:r>
    </w:p>
    <w:p w14:paraId="4CD297BF" w14:textId="057A7842" w:rsidR="00634181" w:rsidRDefault="00634181" w:rsidP="00634181">
      <w:pPr>
        <w:pStyle w:val="Default"/>
        <w:rPr>
          <w:sz w:val="23"/>
          <w:szCs w:val="23"/>
        </w:rPr>
      </w:pPr>
      <w:r>
        <w:rPr>
          <w:sz w:val="23"/>
          <w:szCs w:val="23"/>
        </w:rPr>
        <w:t xml:space="preserve">Where an ECT is having some difficulties reaching the required standards, the Appropriate Body will always want to visit </w:t>
      </w:r>
      <w:proofErr w:type="gramStart"/>
      <w:r>
        <w:rPr>
          <w:sz w:val="23"/>
          <w:szCs w:val="23"/>
        </w:rPr>
        <w:t>in order to</w:t>
      </w:r>
      <w:proofErr w:type="gramEnd"/>
      <w:r>
        <w:rPr>
          <w:sz w:val="23"/>
          <w:szCs w:val="23"/>
        </w:rPr>
        <w:t xml:space="preserve"> discuss support for the ECT and advise on the next steps. The ECT Induction Adviser will conduct this visit and will advise on the requirements (which may be different to a general quality assurance visit). The Appropriate Body may also arrange a </w:t>
      </w:r>
      <w:r w:rsidR="005872B1">
        <w:rPr>
          <w:sz w:val="23"/>
          <w:szCs w:val="23"/>
        </w:rPr>
        <w:t>third-party</w:t>
      </w:r>
      <w:r>
        <w:rPr>
          <w:sz w:val="23"/>
          <w:szCs w:val="23"/>
        </w:rPr>
        <w:t xml:space="preserve"> observation/visit to help moderate the school’s judgement. This may be a paired observation with an LA adviser or a school leader who sits on the Appropriate Body panel. </w:t>
      </w:r>
    </w:p>
    <w:p w14:paraId="799BEE52" w14:textId="77777777" w:rsidR="00634181" w:rsidRDefault="00634181" w:rsidP="00634181">
      <w:pPr>
        <w:pStyle w:val="Default"/>
        <w:rPr>
          <w:sz w:val="23"/>
          <w:szCs w:val="23"/>
        </w:rPr>
      </w:pPr>
    </w:p>
    <w:p w14:paraId="461447DD" w14:textId="6E12C35C" w:rsidR="00634181" w:rsidRDefault="00634181" w:rsidP="00634181">
      <w:pPr>
        <w:pStyle w:val="Default"/>
        <w:rPr>
          <w:sz w:val="23"/>
          <w:szCs w:val="23"/>
        </w:rPr>
      </w:pPr>
      <w:r>
        <w:rPr>
          <w:sz w:val="23"/>
          <w:szCs w:val="23"/>
        </w:rPr>
        <w:t xml:space="preserve">The Appropriate Body will prioritise QA visits for schools who fit one or more of the following criteria: </w:t>
      </w:r>
    </w:p>
    <w:p w14:paraId="60DD9F20" w14:textId="77777777" w:rsidR="00634181" w:rsidRDefault="00634181" w:rsidP="00634181">
      <w:pPr>
        <w:pStyle w:val="Default"/>
        <w:rPr>
          <w:sz w:val="23"/>
          <w:szCs w:val="23"/>
        </w:rPr>
      </w:pPr>
    </w:p>
    <w:p w14:paraId="1DDBB52E" w14:textId="77777777" w:rsidR="00681D07" w:rsidRDefault="00634181" w:rsidP="00681D07">
      <w:pPr>
        <w:pStyle w:val="Default"/>
        <w:numPr>
          <w:ilvl w:val="0"/>
          <w:numId w:val="8"/>
        </w:numPr>
        <w:rPr>
          <w:sz w:val="23"/>
          <w:szCs w:val="23"/>
        </w:rPr>
      </w:pPr>
      <w:r>
        <w:rPr>
          <w:sz w:val="23"/>
          <w:szCs w:val="23"/>
        </w:rPr>
        <w:t xml:space="preserve">Schools where an ECT is not making satisfactory progress against the Teachers’ Standards. </w:t>
      </w:r>
    </w:p>
    <w:p w14:paraId="1197D8DA" w14:textId="77777777" w:rsidR="00681D07" w:rsidRDefault="00634181" w:rsidP="00681D07">
      <w:pPr>
        <w:pStyle w:val="Default"/>
        <w:numPr>
          <w:ilvl w:val="0"/>
          <w:numId w:val="8"/>
        </w:numPr>
        <w:rPr>
          <w:sz w:val="23"/>
          <w:szCs w:val="23"/>
        </w:rPr>
      </w:pPr>
      <w:r w:rsidRPr="00681D07">
        <w:rPr>
          <w:sz w:val="23"/>
          <w:szCs w:val="23"/>
        </w:rPr>
        <w:t xml:space="preserve">Schools with an Ofsted designation of ‘inadequate’ or schools receiving a high level of support from the LA/ other school improvement partners. </w:t>
      </w:r>
    </w:p>
    <w:p w14:paraId="6BAB2068" w14:textId="77777777" w:rsidR="00681D07" w:rsidRDefault="00634181" w:rsidP="00681D07">
      <w:pPr>
        <w:pStyle w:val="Default"/>
        <w:numPr>
          <w:ilvl w:val="0"/>
          <w:numId w:val="8"/>
        </w:numPr>
        <w:rPr>
          <w:sz w:val="23"/>
          <w:szCs w:val="23"/>
        </w:rPr>
      </w:pPr>
      <w:r w:rsidRPr="00681D07">
        <w:rPr>
          <w:sz w:val="23"/>
          <w:szCs w:val="23"/>
        </w:rPr>
        <w:t xml:space="preserve">Schools with an unusually large number of ECTs. </w:t>
      </w:r>
    </w:p>
    <w:p w14:paraId="05AF3914" w14:textId="77777777" w:rsidR="00681D07" w:rsidRDefault="00634181" w:rsidP="00681D07">
      <w:pPr>
        <w:pStyle w:val="Default"/>
        <w:numPr>
          <w:ilvl w:val="0"/>
          <w:numId w:val="8"/>
        </w:numPr>
        <w:rPr>
          <w:sz w:val="23"/>
          <w:szCs w:val="23"/>
        </w:rPr>
      </w:pPr>
      <w:r w:rsidRPr="00681D07">
        <w:rPr>
          <w:sz w:val="23"/>
          <w:szCs w:val="23"/>
        </w:rPr>
        <w:t xml:space="preserve">Schools where there has been a recent change to staff with oversight of ECT induction. </w:t>
      </w:r>
    </w:p>
    <w:p w14:paraId="0F611A8F" w14:textId="315785A8" w:rsidR="00634181" w:rsidRDefault="00634181" w:rsidP="00681D07">
      <w:pPr>
        <w:pStyle w:val="Default"/>
        <w:numPr>
          <w:ilvl w:val="0"/>
          <w:numId w:val="8"/>
        </w:numPr>
        <w:rPr>
          <w:sz w:val="23"/>
          <w:szCs w:val="23"/>
        </w:rPr>
      </w:pPr>
      <w:r w:rsidRPr="00681D07">
        <w:rPr>
          <w:sz w:val="23"/>
          <w:szCs w:val="23"/>
        </w:rPr>
        <w:t xml:space="preserve">Schools who have not employed an ECT within the last three years or schools who are new to registering their ECTs with Cambridgeshire Appropriate Body. </w:t>
      </w:r>
    </w:p>
    <w:p w14:paraId="1FB52CE7" w14:textId="6F6CE5D0" w:rsidR="00681D07" w:rsidRPr="00681D07" w:rsidRDefault="00681D07" w:rsidP="00681D07">
      <w:pPr>
        <w:pStyle w:val="Default"/>
        <w:numPr>
          <w:ilvl w:val="0"/>
          <w:numId w:val="8"/>
        </w:numPr>
        <w:rPr>
          <w:sz w:val="23"/>
          <w:szCs w:val="23"/>
        </w:rPr>
      </w:pPr>
      <w:r>
        <w:rPr>
          <w:sz w:val="23"/>
          <w:szCs w:val="23"/>
        </w:rPr>
        <w:t>Geographical reasons to provide equity of provision to the Cambridgeshire and Peterborough area</w:t>
      </w:r>
    </w:p>
    <w:p w14:paraId="1B44869D" w14:textId="77777777" w:rsidR="00634181" w:rsidRDefault="00634181" w:rsidP="00634181">
      <w:pPr>
        <w:pStyle w:val="Default"/>
        <w:rPr>
          <w:sz w:val="23"/>
          <w:szCs w:val="23"/>
        </w:rPr>
      </w:pPr>
    </w:p>
    <w:p w14:paraId="2EED0463" w14:textId="62CCFBB6" w:rsidR="00634181" w:rsidRDefault="00634181" w:rsidP="00634181">
      <w:pPr>
        <w:pStyle w:val="Default"/>
        <w:rPr>
          <w:sz w:val="23"/>
          <w:szCs w:val="23"/>
        </w:rPr>
      </w:pPr>
      <w:r>
        <w:rPr>
          <w:sz w:val="23"/>
          <w:szCs w:val="23"/>
        </w:rPr>
        <w:t xml:space="preserve">Schools may also opt to have a general quality assurance visit at any time. </w:t>
      </w:r>
    </w:p>
    <w:p w14:paraId="6CE17039" w14:textId="77777777" w:rsidR="00634181" w:rsidRDefault="00634181" w:rsidP="00634181">
      <w:pPr>
        <w:pStyle w:val="Default"/>
        <w:rPr>
          <w:sz w:val="23"/>
          <w:szCs w:val="23"/>
        </w:rPr>
      </w:pPr>
    </w:p>
    <w:p w14:paraId="55CE0B27" w14:textId="77777777" w:rsidR="00634181" w:rsidRDefault="00634181" w:rsidP="00634181">
      <w:pPr>
        <w:pStyle w:val="Default"/>
        <w:rPr>
          <w:sz w:val="23"/>
          <w:szCs w:val="23"/>
        </w:rPr>
      </w:pPr>
      <w:r>
        <w:rPr>
          <w:sz w:val="23"/>
          <w:szCs w:val="23"/>
        </w:rPr>
        <w:t xml:space="preserve">At all times, the Appropriate Body will reserve the right to make any quality assurance visits or audits as it might reasonably deem necessary. </w:t>
      </w:r>
    </w:p>
    <w:p w14:paraId="5C8EB20E" w14:textId="57D1330D" w:rsidR="00634181" w:rsidRDefault="00634181" w:rsidP="00634181">
      <w:pPr>
        <w:pStyle w:val="Default"/>
        <w:pageBreakBefore/>
        <w:jc w:val="center"/>
        <w:rPr>
          <w:b/>
          <w:bCs/>
          <w:sz w:val="23"/>
          <w:szCs w:val="23"/>
        </w:rPr>
      </w:pPr>
      <w:r>
        <w:rPr>
          <w:b/>
          <w:bCs/>
          <w:sz w:val="23"/>
          <w:szCs w:val="23"/>
        </w:rPr>
        <w:lastRenderedPageBreak/>
        <w:t>Quality Assurance</w:t>
      </w:r>
    </w:p>
    <w:p w14:paraId="2F28F8E1" w14:textId="77777777" w:rsidR="00634181" w:rsidRDefault="00634181" w:rsidP="00634181">
      <w:pPr>
        <w:pStyle w:val="Default"/>
        <w:rPr>
          <w:b/>
          <w:bCs/>
          <w:sz w:val="23"/>
          <w:szCs w:val="23"/>
        </w:rPr>
      </w:pPr>
    </w:p>
    <w:p w14:paraId="6951A996" w14:textId="51E09173" w:rsidR="00634181" w:rsidRDefault="00634181" w:rsidP="00634181">
      <w:pPr>
        <w:pStyle w:val="Default"/>
        <w:rPr>
          <w:b/>
          <w:bCs/>
          <w:sz w:val="23"/>
          <w:szCs w:val="23"/>
        </w:rPr>
      </w:pPr>
      <w:r>
        <w:rPr>
          <w:b/>
          <w:bCs/>
          <w:sz w:val="23"/>
          <w:szCs w:val="23"/>
        </w:rPr>
        <w:t xml:space="preserve">It is suggested that schools should aim to meet the following criteria </w:t>
      </w:r>
      <w:proofErr w:type="gramStart"/>
      <w:r>
        <w:rPr>
          <w:b/>
          <w:bCs/>
          <w:sz w:val="23"/>
          <w:szCs w:val="23"/>
        </w:rPr>
        <w:t>in order to</w:t>
      </w:r>
      <w:proofErr w:type="gramEnd"/>
      <w:r>
        <w:rPr>
          <w:b/>
          <w:bCs/>
          <w:sz w:val="23"/>
          <w:szCs w:val="23"/>
        </w:rPr>
        <w:t xml:space="preserve"> host induction: </w:t>
      </w:r>
    </w:p>
    <w:p w14:paraId="2F38CE15" w14:textId="77777777" w:rsidR="00634181" w:rsidRDefault="00634181" w:rsidP="00634181">
      <w:pPr>
        <w:pStyle w:val="Default"/>
        <w:rPr>
          <w:sz w:val="23"/>
          <w:szCs w:val="23"/>
        </w:rPr>
      </w:pPr>
    </w:p>
    <w:p w14:paraId="61E06DD5" w14:textId="63E80F72" w:rsidR="00634181" w:rsidRDefault="00634181" w:rsidP="00634181">
      <w:pPr>
        <w:pStyle w:val="Default"/>
        <w:rPr>
          <w:rFonts w:eastAsia="Calibri" w:cs="Times New Roman"/>
          <w:color w:val="auto"/>
          <w:sz w:val="22"/>
          <w:szCs w:val="22"/>
        </w:rPr>
      </w:pPr>
      <w:r>
        <w:rPr>
          <w:b/>
          <w:bCs/>
          <w:sz w:val="23"/>
          <w:szCs w:val="23"/>
        </w:rPr>
        <w:t xml:space="preserve">1. </w:t>
      </w:r>
      <w:r>
        <w:rPr>
          <w:sz w:val="23"/>
          <w:szCs w:val="23"/>
        </w:rPr>
        <w:t xml:space="preserve">A clear and consistent rationale and approach to ECT induction which meets the </w:t>
      </w:r>
      <w:hyperlink r:id="rId10" w:history="1">
        <w:r>
          <w:rPr>
            <w:rFonts w:eastAsia="Calibri" w:cs="Times New Roman"/>
            <w:color w:val="0000FF"/>
            <w:sz w:val="22"/>
            <w:szCs w:val="22"/>
            <w:u w:val="single"/>
          </w:rPr>
          <w:t>Statutory Guidance</w:t>
        </w:r>
      </w:hyperlink>
    </w:p>
    <w:p w14:paraId="7C1D1DD3" w14:textId="77777777" w:rsidR="00634181" w:rsidRDefault="00634181" w:rsidP="00634181">
      <w:pPr>
        <w:pStyle w:val="Default"/>
        <w:rPr>
          <w:rFonts w:eastAsia="Calibri" w:cs="Times New Roman"/>
          <w:color w:val="auto"/>
          <w:sz w:val="22"/>
          <w:szCs w:val="22"/>
        </w:rPr>
      </w:pPr>
    </w:p>
    <w:p w14:paraId="481666A5" w14:textId="79E25D2A" w:rsidR="00634181" w:rsidRDefault="00634181" w:rsidP="00634181">
      <w:pPr>
        <w:pStyle w:val="Default"/>
        <w:rPr>
          <w:sz w:val="23"/>
          <w:szCs w:val="23"/>
        </w:rPr>
      </w:pPr>
      <w:r>
        <w:rPr>
          <w:b/>
          <w:bCs/>
          <w:sz w:val="23"/>
          <w:szCs w:val="23"/>
        </w:rPr>
        <w:t xml:space="preserve">2. </w:t>
      </w:r>
      <w:r>
        <w:rPr>
          <w:sz w:val="23"/>
          <w:szCs w:val="23"/>
        </w:rPr>
        <w:t xml:space="preserve">Effective leadership of the ECT induction process. </w:t>
      </w:r>
    </w:p>
    <w:p w14:paraId="1E6CB44A" w14:textId="77777777" w:rsidR="00634181" w:rsidRDefault="00634181" w:rsidP="00634181">
      <w:pPr>
        <w:pStyle w:val="Default"/>
        <w:rPr>
          <w:sz w:val="23"/>
          <w:szCs w:val="23"/>
        </w:rPr>
      </w:pPr>
    </w:p>
    <w:p w14:paraId="6EB865E5" w14:textId="33726327" w:rsidR="00634181" w:rsidRDefault="00634181" w:rsidP="00634181">
      <w:pPr>
        <w:pStyle w:val="Default"/>
        <w:rPr>
          <w:rFonts w:eastAsia="Calibri" w:cs="Times New Roman"/>
          <w:color w:val="auto"/>
          <w:sz w:val="22"/>
          <w:szCs w:val="22"/>
        </w:rPr>
      </w:pPr>
      <w:r>
        <w:rPr>
          <w:b/>
          <w:bCs/>
          <w:sz w:val="23"/>
          <w:szCs w:val="23"/>
        </w:rPr>
        <w:t xml:space="preserve">3. </w:t>
      </w:r>
      <w:r>
        <w:rPr>
          <w:sz w:val="23"/>
          <w:szCs w:val="23"/>
        </w:rPr>
        <w:t xml:space="preserve">Effective processes for monitoring and assessing ECT progress against the </w:t>
      </w:r>
      <w:hyperlink r:id="rId11" w:history="1">
        <w:r w:rsidR="000D0681">
          <w:rPr>
            <w:rFonts w:eastAsia="Calibri" w:cs="Times New Roman"/>
            <w:color w:val="0000FF"/>
            <w:sz w:val="22"/>
            <w:szCs w:val="22"/>
            <w:u w:val="single"/>
          </w:rPr>
          <w:t xml:space="preserve">Teachers' standards </w:t>
        </w:r>
      </w:hyperlink>
    </w:p>
    <w:p w14:paraId="4652A4A9" w14:textId="77777777" w:rsidR="000D0681" w:rsidRDefault="000D0681" w:rsidP="00634181">
      <w:pPr>
        <w:pStyle w:val="Default"/>
        <w:rPr>
          <w:sz w:val="23"/>
          <w:szCs w:val="23"/>
        </w:rPr>
      </w:pPr>
    </w:p>
    <w:p w14:paraId="332A0697" w14:textId="77777777" w:rsidR="00634181" w:rsidRDefault="00634181" w:rsidP="00634181">
      <w:pPr>
        <w:pStyle w:val="Default"/>
        <w:rPr>
          <w:sz w:val="23"/>
          <w:szCs w:val="23"/>
        </w:rPr>
      </w:pPr>
      <w:r>
        <w:rPr>
          <w:b/>
          <w:bCs/>
          <w:sz w:val="23"/>
          <w:szCs w:val="23"/>
        </w:rPr>
        <w:t xml:space="preserve">4. </w:t>
      </w:r>
      <w:r>
        <w:rPr>
          <w:sz w:val="23"/>
          <w:szCs w:val="23"/>
        </w:rPr>
        <w:t xml:space="preserve">ECT participation in appropriate professional development, including but not limited to, the Early Career Framework. </w:t>
      </w:r>
    </w:p>
    <w:p w14:paraId="6E4BA732" w14:textId="77777777" w:rsidR="00634181" w:rsidRDefault="00634181" w:rsidP="00634181">
      <w:pPr>
        <w:pStyle w:val="Default"/>
        <w:rPr>
          <w:sz w:val="23"/>
          <w:szCs w:val="23"/>
        </w:rPr>
      </w:pPr>
    </w:p>
    <w:p w14:paraId="675A08EC" w14:textId="77777777" w:rsidR="00634181" w:rsidRDefault="00634181" w:rsidP="00634181">
      <w:pPr>
        <w:pStyle w:val="Default"/>
        <w:rPr>
          <w:sz w:val="23"/>
          <w:szCs w:val="23"/>
        </w:rPr>
      </w:pPr>
      <w:r>
        <w:rPr>
          <w:b/>
          <w:bCs/>
          <w:sz w:val="23"/>
          <w:szCs w:val="23"/>
        </w:rPr>
        <w:t xml:space="preserve">5. </w:t>
      </w:r>
      <w:r>
        <w:rPr>
          <w:sz w:val="23"/>
          <w:szCs w:val="23"/>
        </w:rPr>
        <w:t xml:space="preserve">Provision of focussed and developmental lesson observations and feedback. </w:t>
      </w:r>
    </w:p>
    <w:p w14:paraId="041524F9" w14:textId="77777777" w:rsidR="00634181" w:rsidRDefault="00634181" w:rsidP="00634181">
      <w:pPr>
        <w:pStyle w:val="Default"/>
        <w:rPr>
          <w:sz w:val="23"/>
          <w:szCs w:val="23"/>
        </w:rPr>
      </w:pPr>
    </w:p>
    <w:p w14:paraId="3A3812C3" w14:textId="77777777" w:rsidR="00634181" w:rsidRDefault="00634181" w:rsidP="00634181">
      <w:pPr>
        <w:pStyle w:val="Default"/>
        <w:rPr>
          <w:sz w:val="23"/>
          <w:szCs w:val="23"/>
        </w:rPr>
      </w:pPr>
      <w:r>
        <w:rPr>
          <w:b/>
          <w:bCs/>
          <w:sz w:val="23"/>
          <w:szCs w:val="23"/>
        </w:rPr>
        <w:t xml:space="preserve">6. </w:t>
      </w:r>
      <w:r>
        <w:rPr>
          <w:sz w:val="23"/>
          <w:szCs w:val="23"/>
        </w:rPr>
        <w:t xml:space="preserve">Governor awareness of the process of ECT induction. </w:t>
      </w:r>
    </w:p>
    <w:p w14:paraId="1434A66C" w14:textId="77777777" w:rsidR="00634181" w:rsidRDefault="00634181" w:rsidP="00634181">
      <w:pPr>
        <w:pStyle w:val="Default"/>
        <w:rPr>
          <w:sz w:val="23"/>
          <w:szCs w:val="23"/>
        </w:rPr>
      </w:pPr>
    </w:p>
    <w:p w14:paraId="42E14012" w14:textId="77777777" w:rsidR="00634181" w:rsidRDefault="00634181" w:rsidP="00634181">
      <w:pPr>
        <w:pStyle w:val="Default"/>
        <w:rPr>
          <w:sz w:val="23"/>
          <w:szCs w:val="23"/>
        </w:rPr>
      </w:pPr>
      <w:r>
        <w:rPr>
          <w:b/>
          <w:bCs/>
          <w:sz w:val="23"/>
          <w:szCs w:val="23"/>
        </w:rPr>
        <w:t xml:space="preserve">7. </w:t>
      </w:r>
      <w:r>
        <w:rPr>
          <w:sz w:val="23"/>
          <w:szCs w:val="23"/>
        </w:rPr>
        <w:t xml:space="preserve">Sufficient documentary records to support the induction process. </w:t>
      </w:r>
    </w:p>
    <w:p w14:paraId="5663CD47" w14:textId="77777777" w:rsidR="00634181" w:rsidRDefault="00634181" w:rsidP="00634181">
      <w:pPr>
        <w:pStyle w:val="Default"/>
        <w:rPr>
          <w:sz w:val="23"/>
          <w:szCs w:val="23"/>
        </w:rPr>
      </w:pPr>
    </w:p>
    <w:p w14:paraId="3A0BBBC9" w14:textId="77777777" w:rsidR="000D0681" w:rsidRDefault="00634181" w:rsidP="00634181">
      <w:pPr>
        <w:pStyle w:val="Default"/>
        <w:numPr>
          <w:ilvl w:val="1"/>
          <w:numId w:val="7"/>
        </w:numPr>
        <w:spacing w:after="330"/>
        <w:rPr>
          <w:sz w:val="23"/>
          <w:szCs w:val="23"/>
        </w:rPr>
      </w:pPr>
      <w:r>
        <w:rPr>
          <w:b/>
          <w:bCs/>
          <w:sz w:val="23"/>
          <w:szCs w:val="23"/>
        </w:rPr>
        <w:t xml:space="preserve">8. </w:t>
      </w:r>
      <w:r>
        <w:rPr>
          <w:sz w:val="23"/>
          <w:szCs w:val="23"/>
        </w:rPr>
        <w:t>A fully realised programme of coaching and mentoring which aligns with the Early Career Framework.</w:t>
      </w:r>
    </w:p>
    <w:p w14:paraId="136CC0CB" w14:textId="77777777" w:rsidR="000D0681" w:rsidRDefault="000D0681" w:rsidP="000D0681">
      <w:pPr>
        <w:pStyle w:val="Default"/>
        <w:rPr>
          <w:sz w:val="23"/>
          <w:szCs w:val="23"/>
        </w:rPr>
      </w:pPr>
      <w:r>
        <w:rPr>
          <w:b/>
          <w:bCs/>
          <w:sz w:val="23"/>
          <w:szCs w:val="23"/>
        </w:rPr>
        <w:t xml:space="preserve">General quality assurance visits will include: </w:t>
      </w:r>
    </w:p>
    <w:p w14:paraId="0E6B97E6" w14:textId="77777777" w:rsidR="000D0681" w:rsidRDefault="000D0681" w:rsidP="00634181">
      <w:pPr>
        <w:pStyle w:val="Default"/>
        <w:numPr>
          <w:ilvl w:val="1"/>
          <w:numId w:val="7"/>
        </w:numPr>
        <w:spacing w:after="330"/>
        <w:rPr>
          <w:sz w:val="23"/>
          <w:szCs w:val="23"/>
        </w:rPr>
      </w:pPr>
    </w:p>
    <w:p w14:paraId="4DC6F55C" w14:textId="1F6CE87A" w:rsidR="00634181" w:rsidRDefault="000D0681" w:rsidP="000D0681">
      <w:pPr>
        <w:pStyle w:val="Default"/>
        <w:numPr>
          <w:ilvl w:val="3"/>
          <w:numId w:val="7"/>
        </w:numPr>
        <w:spacing w:after="330"/>
        <w:rPr>
          <w:sz w:val="23"/>
          <w:szCs w:val="23"/>
        </w:rPr>
      </w:pPr>
      <w:r>
        <w:rPr>
          <w:sz w:val="23"/>
          <w:szCs w:val="23"/>
        </w:rPr>
        <w:t xml:space="preserve">     </w:t>
      </w:r>
      <w:r w:rsidR="00634181">
        <w:rPr>
          <w:sz w:val="23"/>
          <w:szCs w:val="23"/>
        </w:rPr>
        <w:t xml:space="preserve"> • Discussions with the Head Teacher, Induction Lead/Tutor, Mentor(s) and ECT(s) </w:t>
      </w:r>
    </w:p>
    <w:p w14:paraId="64BF98B8" w14:textId="33CACDEC" w:rsidR="00634181" w:rsidRDefault="000D0681" w:rsidP="00634181">
      <w:pPr>
        <w:pStyle w:val="Default"/>
        <w:numPr>
          <w:ilvl w:val="1"/>
          <w:numId w:val="7"/>
        </w:numPr>
        <w:rPr>
          <w:sz w:val="23"/>
          <w:szCs w:val="23"/>
        </w:rPr>
      </w:pPr>
      <w:r>
        <w:rPr>
          <w:sz w:val="23"/>
          <w:szCs w:val="23"/>
        </w:rPr>
        <w:t xml:space="preserve">      </w:t>
      </w:r>
      <w:r w:rsidR="00634181">
        <w:rPr>
          <w:sz w:val="23"/>
          <w:szCs w:val="23"/>
        </w:rPr>
        <w:t xml:space="preserve">• Review of induction records </w:t>
      </w:r>
    </w:p>
    <w:p w14:paraId="2552C3EE" w14:textId="77777777" w:rsidR="00634181" w:rsidRDefault="00634181" w:rsidP="00634181">
      <w:pPr>
        <w:pStyle w:val="Default"/>
        <w:numPr>
          <w:ilvl w:val="1"/>
          <w:numId w:val="7"/>
        </w:numPr>
        <w:rPr>
          <w:sz w:val="23"/>
          <w:szCs w:val="23"/>
        </w:rPr>
      </w:pPr>
    </w:p>
    <w:p w14:paraId="73334950" w14:textId="77777777" w:rsidR="00634181" w:rsidRDefault="00634181" w:rsidP="00634181">
      <w:pPr>
        <w:pStyle w:val="Default"/>
        <w:rPr>
          <w:sz w:val="23"/>
          <w:szCs w:val="23"/>
        </w:rPr>
      </w:pPr>
    </w:p>
    <w:p w14:paraId="70FECFB8" w14:textId="77777777" w:rsidR="00634181" w:rsidRDefault="00634181" w:rsidP="00634181">
      <w:pPr>
        <w:pStyle w:val="Default"/>
        <w:rPr>
          <w:sz w:val="23"/>
          <w:szCs w:val="23"/>
        </w:rPr>
      </w:pPr>
      <w:r>
        <w:rPr>
          <w:sz w:val="23"/>
          <w:szCs w:val="23"/>
        </w:rPr>
        <w:t xml:space="preserve">Following the visit, feedback will be provided about the school’s induction arrangements, and advice and support offered to enhance these arrangements where necessary. </w:t>
      </w:r>
    </w:p>
    <w:p w14:paraId="7440CFE8" w14:textId="7A752515" w:rsidR="000D0681" w:rsidRDefault="00634181" w:rsidP="00634181">
      <w:pPr>
        <w:pStyle w:val="Default"/>
        <w:pageBreakBefore/>
        <w:rPr>
          <w:sz w:val="23"/>
          <w:szCs w:val="23"/>
        </w:rPr>
      </w:pPr>
      <w:r>
        <w:rPr>
          <w:b/>
          <w:bCs/>
          <w:sz w:val="23"/>
          <w:szCs w:val="23"/>
        </w:rPr>
        <w:lastRenderedPageBreak/>
        <w:t xml:space="preserve">General QA visits: Focus of discussion </w:t>
      </w:r>
    </w:p>
    <w:p w14:paraId="113E045E" w14:textId="77777777" w:rsidR="000D0681" w:rsidRDefault="000D0681" w:rsidP="00634181">
      <w:pPr>
        <w:pStyle w:val="Default"/>
        <w:rPr>
          <w:b/>
          <w:bCs/>
          <w:sz w:val="23"/>
          <w:szCs w:val="23"/>
        </w:rPr>
      </w:pPr>
    </w:p>
    <w:p w14:paraId="44E0BEEF" w14:textId="7B1C8C44" w:rsidR="00634181" w:rsidRDefault="00634181" w:rsidP="00634181">
      <w:pPr>
        <w:pStyle w:val="Default"/>
        <w:rPr>
          <w:sz w:val="23"/>
          <w:szCs w:val="23"/>
        </w:rPr>
      </w:pPr>
      <w:r>
        <w:rPr>
          <w:b/>
          <w:bCs/>
          <w:sz w:val="23"/>
          <w:szCs w:val="23"/>
        </w:rPr>
        <w:t xml:space="preserve">With the Headteacher and Induction Lead: </w:t>
      </w:r>
    </w:p>
    <w:p w14:paraId="7D09ADF6" w14:textId="0887CC7C" w:rsidR="00634181" w:rsidRPr="005872B1" w:rsidRDefault="00634181" w:rsidP="00634181">
      <w:pPr>
        <w:pStyle w:val="Default"/>
        <w:spacing w:after="22"/>
        <w:rPr>
          <w:i/>
          <w:iCs/>
          <w:sz w:val="23"/>
          <w:szCs w:val="23"/>
        </w:rPr>
      </w:pPr>
      <w:r>
        <w:rPr>
          <w:rFonts w:ascii="Arial" w:hAnsi="Arial" w:cs="Arial"/>
          <w:sz w:val="23"/>
          <w:szCs w:val="23"/>
        </w:rPr>
        <w:t xml:space="preserve">- </w:t>
      </w:r>
      <w:r w:rsidRPr="005872B1">
        <w:rPr>
          <w:i/>
          <w:iCs/>
          <w:sz w:val="23"/>
          <w:szCs w:val="23"/>
        </w:rPr>
        <w:t xml:space="preserve">The school’s rationale and approach to ECT induction, including how the </w:t>
      </w:r>
      <w:hyperlink r:id="rId12" w:history="1">
        <w:r w:rsidR="000D0681" w:rsidRPr="005872B1">
          <w:rPr>
            <w:rFonts w:eastAsia="Calibri"/>
            <w:i/>
            <w:iCs/>
            <w:color w:val="0000FF"/>
            <w:sz w:val="22"/>
            <w:szCs w:val="22"/>
            <w:u w:val="single"/>
          </w:rPr>
          <w:t>Statutory Guidance</w:t>
        </w:r>
      </w:hyperlink>
      <w:r w:rsidR="000D0681" w:rsidRPr="005872B1">
        <w:rPr>
          <w:i/>
          <w:iCs/>
          <w:sz w:val="23"/>
          <w:szCs w:val="23"/>
        </w:rPr>
        <w:t xml:space="preserve"> </w:t>
      </w:r>
      <w:r w:rsidRPr="005872B1">
        <w:rPr>
          <w:i/>
          <w:iCs/>
          <w:sz w:val="23"/>
          <w:szCs w:val="23"/>
        </w:rPr>
        <w:t xml:space="preserve">is realised. </w:t>
      </w:r>
    </w:p>
    <w:p w14:paraId="7763C015" w14:textId="77777777" w:rsidR="00634181" w:rsidRPr="005872B1" w:rsidRDefault="00634181" w:rsidP="00634181">
      <w:pPr>
        <w:pStyle w:val="Default"/>
        <w:spacing w:after="22"/>
        <w:rPr>
          <w:i/>
          <w:iCs/>
          <w:sz w:val="23"/>
          <w:szCs w:val="23"/>
        </w:rPr>
      </w:pPr>
      <w:r w:rsidRPr="005872B1">
        <w:rPr>
          <w:i/>
          <w:iCs/>
          <w:sz w:val="23"/>
          <w:szCs w:val="23"/>
        </w:rPr>
        <w:t xml:space="preserve">- Clarity of roles and responsibilities. </w:t>
      </w:r>
    </w:p>
    <w:p w14:paraId="48CCE070" w14:textId="77777777" w:rsidR="00634181" w:rsidRPr="005872B1" w:rsidRDefault="00634181" w:rsidP="00634181">
      <w:pPr>
        <w:pStyle w:val="Default"/>
        <w:spacing w:after="22"/>
        <w:rPr>
          <w:i/>
          <w:iCs/>
          <w:sz w:val="23"/>
          <w:szCs w:val="23"/>
        </w:rPr>
      </w:pPr>
      <w:r w:rsidRPr="005872B1">
        <w:rPr>
          <w:i/>
          <w:iCs/>
          <w:sz w:val="23"/>
          <w:szCs w:val="23"/>
        </w:rPr>
        <w:t xml:space="preserve">- The provision and use of non-contact time for ECTs, induction lead/tutor and mentor(s). </w:t>
      </w:r>
    </w:p>
    <w:p w14:paraId="76CAF76F" w14:textId="77777777" w:rsidR="00634181" w:rsidRPr="005872B1" w:rsidRDefault="00634181" w:rsidP="00634181">
      <w:pPr>
        <w:pStyle w:val="Default"/>
        <w:spacing w:after="22"/>
        <w:rPr>
          <w:i/>
          <w:iCs/>
          <w:sz w:val="23"/>
          <w:szCs w:val="23"/>
        </w:rPr>
      </w:pPr>
      <w:r w:rsidRPr="005872B1">
        <w:rPr>
          <w:i/>
          <w:iCs/>
          <w:sz w:val="23"/>
          <w:szCs w:val="23"/>
        </w:rPr>
        <w:t xml:space="preserve">- The use of funds and other resources to support ECT continuing professional development. </w:t>
      </w:r>
    </w:p>
    <w:p w14:paraId="638359DA" w14:textId="77777777" w:rsidR="00634181" w:rsidRPr="005872B1" w:rsidRDefault="00634181" w:rsidP="00634181">
      <w:pPr>
        <w:pStyle w:val="Default"/>
        <w:spacing w:after="22"/>
        <w:rPr>
          <w:i/>
          <w:iCs/>
          <w:sz w:val="23"/>
          <w:szCs w:val="23"/>
        </w:rPr>
      </w:pPr>
      <w:r w:rsidRPr="005872B1">
        <w:rPr>
          <w:i/>
          <w:iCs/>
          <w:sz w:val="23"/>
          <w:szCs w:val="23"/>
        </w:rPr>
        <w:t xml:space="preserve">- How the school is monitoring the progress of ECTs in relation to the Teachers’ Standards, including setting and reviewing of targets. </w:t>
      </w:r>
    </w:p>
    <w:p w14:paraId="411AFC34" w14:textId="77777777" w:rsidR="00634181" w:rsidRPr="005872B1" w:rsidRDefault="00634181" w:rsidP="00634181">
      <w:pPr>
        <w:pStyle w:val="Default"/>
        <w:spacing w:after="22"/>
        <w:rPr>
          <w:i/>
          <w:iCs/>
          <w:sz w:val="23"/>
          <w:szCs w:val="23"/>
        </w:rPr>
      </w:pPr>
      <w:r w:rsidRPr="005872B1">
        <w:rPr>
          <w:i/>
          <w:iCs/>
          <w:sz w:val="23"/>
          <w:szCs w:val="23"/>
        </w:rPr>
        <w:t xml:space="preserve">- How the school plans to ensure consistency of judgement across those involved in assessing ECTs. </w:t>
      </w:r>
    </w:p>
    <w:p w14:paraId="434A21F8" w14:textId="77777777" w:rsidR="00634181" w:rsidRPr="005872B1" w:rsidRDefault="00634181" w:rsidP="00634181">
      <w:pPr>
        <w:pStyle w:val="Default"/>
        <w:spacing w:after="22"/>
        <w:rPr>
          <w:i/>
          <w:iCs/>
          <w:sz w:val="23"/>
          <w:szCs w:val="23"/>
        </w:rPr>
      </w:pPr>
      <w:r w:rsidRPr="005872B1">
        <w:rPr>
          <w:i/>
          <w:iCs/>
          <w:sz w:val="23"/>
          <w:szCs w:val="23"/>
        </w:rPr>
        <w:t xml:space="preserve">- Expectations of the ECT(s), and whether the level of responsibility placed upon them is appropriate. </w:t>
      </w:r>
    </w:p>
    <w:p w14:paraId="0E060116" w14:textId="77777777" w:rsidR="00634181" w:rsidRPr="005872B1" w:rsidRDefault="00634181" w:rsidP="00634181">
      <w:pPr>
        <w:pStyle w:val="Default"/>
        <w:spacing w:after="22"/>
        <w:rPr>
          <w:i/>
          <w:iCs/>
          <w:sz w:val="23"/>
          <w:szCs w:val="23"/>
        </w:rPr>
      </w:pPr>
      <w:r w:rsidRPr="005872B1">
        <w:rPr>
          <w:i/>
          <w:iCs/>
          <w:sz w:val="23"/>
          <w:szCs w:val="23"/>
        </w:rPr>
        <w:t xml:space="preserve">- The use of targets set at the end of ITT. </w:t>
      </w:r>
    </w:p>
    <w:p w14:paraId="1764623D" w14:textId="77777777" w:rsidR="00634181" w:rsidRPr="005872B1" w:rsidRDefault="00634181" w:rsidP="00634181">
      <w:pPr>
        <w:pStyle w:val="Default"/>
        <w:spacing w:after="22"/>
        <w:rPr>
          <w:i/>
          <w:iCs/>
          <w:sz w:val="23"/>
          <w:szCs w:val="23"/>
        </w:rPr>
      </w:pPr>
      <w:r w:rsidRPr="005872B1">
        <w:rPr>
          <w:i/>
          <w:iCs/>
          <w:sz w:val="23"/>
          <w:szCs w:val="23"/>
        </w:rPr>
        <w:t xml:space="preserve">- The frequency of, and arrangements for, support meetings with ECTs. </w:t>
      </w:r>
    </w:p>
    <w:p w14:paraId="01198F50" w14:textId="77777777" w:rsidR="00634181" w:rsidRPr="005872B1" w:rsidRDefault="00634181" w:rsidP="00634181">
      <w:pPr>
        <w:pStyle w:val="Default"/>
        <w:spacing w:after="22"/>
        <w:rPr>
          <w:i/>
          <w:iCs/>
          <w:sz w:val="23"/>
          <w:szCs w:val="23"/>
        </w:rPr>
      </w:pPr>
      <w:r w:rsidRPr="005872B1">
        <w:rPr>
          <w:i/>
          <w:iCs/>
          <w:sz w:val="23"/>
          <w:szCs w:val="23"/>
        </w:rPr>
        <w:t xml:space="preserve">- Arrangements made for observing ECTs and providing feedback. </w:t>
      </w:r>
    </w:p>
    <w:p w14:paraId="4C9B98AC" w14:textId="77777777" w:rsidR="00634181" w:rsidRPr="005872B1" w:rsidRDefault="00634181" w:rsidP="00634181">
      <w:pPr>
        <w:pStyle w:val="Default"/>
        <w:spacing w:after="22"/>
        <w:rPr>
          <w:i/>
          <w:iCs/>
          <w:sz w:val="23"/>
          <w:szCs w:val="23"/>
        </w:rPr>
      </w:pPr>
      <w:r w:rsidRPr="005872B1">
        <w:rPr>
          <w:i/>
          <w:iCs/>
          <w:sz w:val="23"/>
          <w:szCs w:val="23"/>
        </w:rPr>
        <w:t xml:space="preserve">- Professional development opportunities provided for ECTs, including but not limited to, the implementation of the Early Career Framework. </w:t>
      </w:r>
    </w:p>
    <w:p w14:paraId="083CE990" w14:textId="77777777" w:rsidR="00634181" w:rsidRPr="005872B1" w:rsidRDefault="00634181" w:rsidP="00634181">
      <w:pPr>
        <w:pStyle w:val="Default"/>
        <w:spacing w:after="22"/>
        <w:rPr>
          <w:i/>
          <w:iCs/>
          <w:sz w:val="23"/>
          <w:szCs w:val="23"/>
        </w:rPr>
      </w:pPr>
      <w:r w:rsidRPr="005872B1">
        <w:rPr>
          <w:i/>
          <w:iCs/>
          <w:sz w:val="23"/>
          <w:szCs w:val="23"/>
        </w:rPr>
        <w:t xml:space="preserve">- The support provided by senior management for the Induction Lead, Induction Tutor(s) and mentor(s). </w:t>
      </w:r>
    </w:p>
    <w:p w14:paraId="23D8E78C" w14:textId="77777777" w:rsidR="00634181" w:rsidRPr="005872B1" w:rsidRDefault="00634181" w:rsidP="00634181">
      <w:pPr>
        <w:pStyle w:val="Default"/>
        <w:spacing w:after="22"/>
        <w:rPr>
          <w:i/>
          <w:iCs/>
          <w:sz w:val="23"/>
          <w:szCs w:val="23"/>
        </w:rPr>
      </w:pPr>
      <w:r w:rsidRPr="005872B1">
        <w:rPr>
          <w:i/>
          <w:iCs/>
          <w:sz w:val="23"/>
          <w:szCs w:val="23"/>
        </w:rPr>
        <w:t xml:space="preserve">- Training completed by the Induction Lead/Tutor to prepare them for the role. </w:t>
      </w:r>
    </w:p>
    <w:p w14:paraId="53379C1B" w14:textId="77777777" w:rsidR="00634181" w:rsidRPr="005872B1" w:rsidRDefault="00634181" w:rsidP="00634181">
      <w:pPr>
        <w:pStyle w:val="Default"/>
        <w:rPr>
          <w:i/>
          <w:iCs/>
          <w:sz w:val="23"/>
          <w:szCs w:val="23"/>
        </w:rPr>
      </w:pPr>
      <w:r w:rsidRPr="005872B1">
        <w:rPr>
          <w:i/>
          <w:iCs/>
          <w:sz w:val="23"/>
          <w:szCs w:val="23"/>
        </w:rPr>
        <w:t xml:space="preserve">- How the school manages any concerns regarding an ECT’s progress. </w:t>
      </w:r>
    </w:p>
    <w:p w14:paraId="176CA522" w14:textId="77777777" w:rsidR="00634181" w:rsidRPr="005872B1" w:rsidRDefault="00634181" w:rsidP="00634181">
      <w:pPr>
        <w:pStyle w:val="Default"/>
        <w:rPr>
          <w:i/>
          <w:iCs/>
          <w:sz w:val="23"/>
          <w:szCs w:val="23"/>
        </w:rPr>
      </w:pPr>
    </w:p>
    <w:p w14:paraId="3E07BD5A" w14:textId="77777777" w:rsidR="00634181" w:rsidRDefault="00634181" w:rsidP="00634181">
      <w:pPr>
        <w:pStyle w:val="Default"/>
        <w:rPr>
          <w:sz w:val="23"/>
          <w:szCs w:val="23"/>
        </w:rPr>
      </w:pPr>
      <w:r>
        <w:rPr>
          <w:b/>
          <w:bCs/>
          <w:sz w:val="23"/>
          <w:szCs w:val="23"/>
        </w:rPr>
        <w:t xml:space="preserve">With the Mentor(s): </w:t>
      </w:r>
    </w:p>
    <w:p w14:paraId="49F801C8" w14:textId="77777777" w:rsidR="00634181" w:rsidRPr="005872B1" w:rsidRDefault="00634181" w:rsidP="00634181">
      <w:pPr>
        <w:pStyle w:val="Default"/>
        <w:spacing w:after="22"/>
        <w:rPr>
          <w:rFonts w:asciiTheme="minorHAnsi" w:hAnsiTheme="minorHAnsi" w:cstheme="minorHAnsi"/>
          <w:sz w:val="23"/>
          <w:szCs w:val="23"/>
        </w:rPr>
      </w:pPr>
      <w:r>
        <w:rPr>
          <w:rFonts w:ascii="Arial" w:hAnsi="Arial" w:cs="Arial"/>
          <w:sz w:val="23"/>
          <w:szCs w:val="23"/>
        </w:rPr>
        <w:t xml:space="preserve">- </w:t>
      </w:r>
      <w:r w:rsidRPr="005872B1">
        <w:rPr>
          <w:rFonts w:asciiTheme="minorHAnsi" w:hAnsiTheme="minorHAnsi" w:cstheme="minorHAnsi"/>
          <w:i/>
          <w:iCs/>
          <w:sz w:val="23"/>
          <w:szCs w:val="23"/>
        </w:rPr>
        <w:t xml:space="preserve">Their understanding of the role of mentor and how it fits into the induction </w:t>
      </w:r>
      <w:proofErr w:type="gramStart"/>
      <w:r w:rsidRPr="005872B1">
        <w:rPr>
          <w:rFonts w:asciiTheme="minorHAnsi" w:hAnsiTheme="minorHAnsi" w:cstheme="minorHAnsi"/>
          <w:i/>
          <w:iCs/>
          <w:sz w:val="23"/>
          <w:szCs w:val="23"/>
        </w:rPr>
        <w:t>process as a whole</w:t>
      </w:r>
      <w:proofErr w:type="gramEnd"/>
      <w:r w:rsidRPr="005872B1">
        <w:rPr>
          <w:rFonts w:asciiTheme="minorHAnsi" w:hAnsiTheme="minorHAnsi" w:cstheme="minorHAnsi"/>
          <w:i/>
          <w:iCs/>
          <w:sz w:val="23"/>
          <w:szCs w:val="23"/>
        </w:rPr>
        <w:t xml:space="preserve">. </w:t>
      </w:r>
    </w:p>
    <w:p w14:paraId="4A693890"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w:t>
      </w:r>
      <w:r w:rsidRPr="005872B1">
        <w:rPr>
          <w:rFonts w:asciiTheme="minorHAnsi" w:hAnsiTheme="minorHAnsi" w:cstheme="minorHAnsi"/>
          <w:i/>
          <w:iCs/>
          <w:sz w:val="23"/>
          <w:szCs w:val="23"/>
        </w:rPr>
        <w:t xml:space="preserve">Training received to support them in their role. </w:t>
      </w:r>
    </w:p>
    <w:p w14:paraId="41ABBD29"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w:t>
      </w:r>
      <w:r w:rsidRPr="005872B1">
        <w:rPr>
          <w:rFonts w:asciiTheme="minorHAnsi" w:hAnsiTheme="minorHAnsi" w:cstheme="minorHAnsi"/>
          <w:i/>
          <w:iCs/>
          <w:sz w:val="23"/>
          <w:szCs w:val="23"/>
        </w:rPr>
        <w:t xml:space="preserve">The support provided by senior management, including release time. </w:t>
      </w:r>
    </w:p>
    <w:p w14:paraId="7484A75B"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The frequency of, and arrangements for, support meetings with ECTs. </w:t>
      </w:r>
    </w:p>
    <w:p w14:paraId="2015499E"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How mentor meetings are used for developmental purposes. </w:t>
      </w:r>
    </w:p>
    <w:p w14:paraId="6BB5FA1A" w14:textId="77777777" w:rsidR="00634181" w:rsidRPr="005872B1" w:rsidRDefault="00634181" w:rsidP="00634181">
      <w:pPr>
        <w:pStyle w:val="Default"/>
        <w:rPr>
          <w:rFonts w:asciiTheme="minorHAnsi" w:hAnsiTheme="minorHAnsi" w:cstheme="minorHAnsi"/>
          <w:sz w:val="23"/>
          <w:szCs w:val="23"/>
        </w:rPr>
      </w:pPr>
      <w:r w:rsidRPr="005872B1">
        <w:rPr>
          <w:rFonts w:asciiTheme="minorHAnsi" w:hAnsiTheme="minorHAnsi" w:cstheme="minorHAnsi"/>
          <w:sz w:val="23"/>
          <w:szCs w:val="23"/>
        </w:rPr>
        <w:t xml:space="preserve">- </w:t>
      </w:r>
      <w:r w:rsidRPr="005872B1">
        <w:rPr>
          <w:rFonts w:asciiTheme="minorHAnsi" w:hAnsiTheme="minorHAnsi" w:cstheme="minorHAnsi"/>
          <w:i/>
          <w:iCs/>
          <w:sz w:val="23"/>
          <w:szCs w:val="23"/>
        </w:rPr>
        <w:t xml:space="preserve">Their understanding of what to do if they had any concerns about the progress of an ECT. </w:t>
      </w:r>
    </w:p>
    <w:p w14:paraId="3F48B121" w14:textId="77777777" w:rsidR="00634181" w:rsidRDefault="00634181" w:rsidP="00634181">
      <w:pPr>
        <w:pStyle w:val="Default"/>
        <w:rPr>
          <w:sz w:val="23"/>
          <w:szCs w:val="23"/>
        </w:rPr>
      </w:pPr>
    </w:p>
    <w:p w14:paraId="62C0183A" w14:textId="77777777" w:rsidR="00634181" w:rsidRDefault="00634181" w:rsidP="00634181">
      <w:pPr>
        <w:pStyle w:val="Default"/>
        <w:rPr>
          <w:sz w:val="23"/>
          <w:szCs w:val="23"/>
        </w:rPr>
      </w:pPr>
      <w:r>
        <w:rPr>
          <w:b/>
          <w:bCs/>
          <w:sz w:val="23"/>
          <w:szCs w:val="23"/>
        </w:rPr>
        <w:t xml:space="preserve">With the ECT(s) (this could be a group discussion): </w:t>
      </w:r>
    </w:p>
    <w:p w14:paraId="7E6E4FB8" w14:textId="77777777" w:rsidR="00634181" w:rsidRPr="005872B1" w:rsidRDefault="00634181" w:rsidP="00634181">
      <w:pPr>
        <w:pStyle w:val="Default"/>
        <w:spacing w:after="23"/>
        <w:rPr>
          <w:rFonts w:asciiTheme="minorHAnsi" w:hAnsiTheme="minorHAnsi" w:cstheme="minorHAnsi"/>
          <w:sz w:val="23"/>
          <w:szCs w:val="23"/>
        </w:rPr>
      </w:pPr>
      <w:r>
        <w:rPr>
          <w:rFonts w:ascii="Arial" w:hAnsi="Arial" w:cs="Arial"/>
          <w:sz w:val="23"/>
          <w:szCs w:val="23"/>
        </w:rPr>
        <w:t xml:space="preserve">- </w:t>
      </w:r>
      <w:r w:rsidRPr="005872B1">
        <w:rPr>
          <w:rFonts w:asciiTheme="minorHAnsi" w:hAnsiTheme="minorHAnsi" w:cstheme="minorHAnsi"/>
          <w:i/>
          <w:iCs/>
          <w:sz w:val="23"/>
          <w:szCs w:val="23"/>
        </w:rPr>
        <w:t xml:space="preserve">Understanding of what is expected of them, especially in relation to the Teachers’ Standards and their own responsibility within the induction arrangements. </w:t>
      </w:r>
    </w:p>
    <w:p w14:paraId="68F54033" w14:textId="77777777" w:rsidR="00634181" w:rsidRPr="005872B1" w:rsidRDefault="00634181" w:rsidP="00634181">
      <w:pPr>
        <w:pStyle w:val="Default"/>
        <w:spacing w:after="23"/>
        <w:rPr>
          <w:rFonts w:asciiTheme="minorHAnsi" w:hAnsiTheme="minorHAnsi" w:cstheme="minorHAnsi"/>
          <w:sz w:val="23"/>
          <w:szCs w:val="23"/>
        </w:rPr>
      </w:pPr>
      <w:r w:rsidRPr="005872B1">
        <w:rPr>
          <w:rFonts w:asciiTheme="minorHAnsi" w:hAnsiTheme="minorHAnsi" w:cstheme="minorHAnsi"/>
          <w:sz w:val="23"/>
          <w:szCs w:val="23"/>
        </w:rPr>
        <w:t xml:space="preserve">- </w:t>
      </w:r>
      <w:r w:rsidRPr="005872B1">
        <w:rPr>
          <w:rFonts w:asciiTheme="minorHAnsi" w:hAnsiTheme="minorHAnsi" w:cstheme="minorHAnsi"/>
          <w:i/>
          <w:iCs/>
          <w:sz w:val="23"/>
          <w:szCs w:val="23"/>
        </w:rPr>
        <w:t xml:space="preserve">Provision and use of ECT release time. </w:t>
      </w:r>
    </w:p>
    <w:p w14:paraId="23ACD632" w14:textId="77777777" w:rsidR="00634181" w:rsidRPr="005872B1" w:rsidRDefault="00634181" w:rsidP="00634181">
      <w:pPr>
        <w:pStyle w:val="Default"/>
        <w:spacing w:after="23"/>
        <w:rPr>
          <w:rFonts w:asciiTheme="minorHAnsi" w:hAnsiTheme="minorHAnsi" w:cstheme="minorHAnsi"/>
          <w:sz w:val="23"/>
          <w:szCs w:val="23"/>
        </w:rPr>
      </w:pPr>
      <w:r w:rsidRPr="005872B1">
        <w:rPr>
          <w:rFonts w:asciiTheme="minorHAnsi" w:hAnsiTheme="minorHAnsi" w:cstheme="minorHAnsi"/>
          <w:sz w:val="23"/>
          <w:szCs w:val="23"/>
        </w:rPr>
        <w:t xml:space="preserve">- </w:t>
      </w:r>
      <w:r w:rsidRPr="005872B1">
        <w:rPr>
          <w:rFonts w:asciiTheme="minorHAnsi" w:hAnsiTheme="minorHAnsi" w:cstheme="minorHAnsi"/>
          <w:i/>
          <w:iCs/>
          <w:sz w:val="23"/>
          <w:szCs w:val="23"/>
        </w:rPr>
        <w:t xml:space="preserve">Opportunities for professional development both inside and outside the school. </w:t>
      </w:r>
    </w:p>
    <w:p w14:paraId="38A204B2" w14:textId="77777777" w:rsidR="00634181" w:rsidRPr="005872B1" w:rsidRDefault="00634181" w:rsidP="00634181">
      <w:pPr>
        <w:pStyle w:val="Default"/>
        <w:spacing w:after="23"/>
        <w:rPr>
          <w:rFonts w:asciiTheme="minorHAnsi" w:hAnsiTheme="minorHAnsi" w:cstheme="minorHAnsi"/>
          <w:sz w:val="23"/>
          <w:szCs w:val="23"/>
        </w:rPr>
      </w:pPr>
      <w:r w:rsidRPr="005872B1">
        <w:rPr>
          <w:rFonts w:asciiTheme="minorHAnsi" w:hAnsiTheme="minorHAnsi" w:cstheme="minorHAnsi"/>
          <w:sz w:val="23"/>
          <w:szCs w:val="23"/>
        </w:rPr>
        <w:t xml:space="preserve">- </w:t>
      </w:r>
      <w:r w:rsidRPr="005872B1">
        <w:rPr>
          <w:rFonts w:asciiTheme="minorHAnsi" w:hAnsiTheme="minorHAnsi" w:cstheme="minorHAnsi"/>
          <w:i/>
          <w:iCs/>
          <w:sz w:val="23"/>
          <w:szCs w:val="23"/>
        </w:rPr>
        <w:t xml:space="preserve">Level of in-school support. </w:t>
      </w:r>
    </w:p>
    <w:p w14:paraId="3A9AF3E9" w14:textId="77777777" w:rsidR="00634181" w:rsidRPr="005872B1" w:rsidRDefault="00634181" w:rsidP="00634181">
      <w:pPr>
        <w:pStyle w:val="Default"/>
        <w:spacing w:after="23"/>
        <w:rPr>
          <w:rFonts w:asciiTheme="minorHAnsi" w:hAnsiTheme="minorHAnsi" w:cstheme="minorHAnsi"/>
          <w:sz w:val="23"/>
          <w:szCs w:val="23"/>
        </w:rPr>
      </w:pPr>
      <w:r w:rsidRPr="005872B1">
        <w:rPr>
          <w:rFonts w:asciiTheme="minorHAnsi" w:hAnsiTheme="minorHAnsi" w:cstheme="minorHAnsi"/>
          <w:sz w:val="23"/>
          <w:szCs w:val="23"/>
        </w:rPr>
        <w:t xml:space="preserve">- Opportunities for observation of other teachers. </w:t>
      </w:r>
    </w:p>
    <w:p w14:paraId="658C03EA" w14:textId="77777777" w:rsidR="00634181" w:rsidRPr="005872B1" w:rsidRDefault="00634181" w:rsidP="00634181">
      <w:pPr>
        <w:pStyle w:val="Default"/>
        <w:rPr>
          <w:rFonts w:asciiTheme="minorHAnsi" w:hAnsiTheme="minorHAnsi" w:cstheme="minorHAnsi"/>
          <w:sz w:val="23"/>
          <w:szCs w:val="23"/>
        </w:rPr>
      </w:pPr>
      <w:r w:rsidRPr="005872B1">
        <w:rPr>
          <w:rFonts w:asciiTheme="minorHAnsi" w:hAnsiTheme="minorHAnsi" w:cstheme="minorHAnsi"/>
          <w:sz w:val="23"/>
          <w:szCs w:val="23"/>
        </w:rPr>
        <w:t xml:space="preserve">- </w:t>
      </w:r>
      <w:r w:rsidRPr="005872B1">
        <w:rPr>
          <w:rFonts w:asciiTheme="minorHAnsi" w:hAnsiTheme="minorHAnsi" w:cstheme="minorHAnsi"/>
          <w:i/>
          <w:iCs/>
          <w:sz w:val="23"/>
          <w:szCs w:val="23"/>
        </w:rPr>
        <w:t xml:space="preserve">Understanding of the mechanisms by which professional concerns may be raised within the school and with the Appropriate Body where they cannot be satisfactorily resolved at school level. </w:t>
      </w:r>
    </w:p>
    <w:p w14:paraId="477F12C8" w14:textId="77777777" w:rsidR="00634181" w:rsidRPr="005872B1" w:rsidRDefault="00634181" w:rsidP="00634181">
      <w:pPr>
        <w:pStyle w:val="Default"/>
        <w:rPr>
          <w:rFonts w:asciiTheme="minorHAnsi" w:hAnsiTheme="minorHAnsi" w:cstheme="minorHAnsi"/>
          <w:sz w:val="23"/>
          <w:szCs w:val="23"/>
        </w:rPr>
      </w:pPr>
    </w:p>
    <w:p w14:paraId="71005646" w14:textId="148C967A" w:rsidR="00634181" w:rsidRDefault="00634181" w:rsidP="00634181">
      <w:pPr>
        <w:pStyle w:val="Default"/>
        <w:pageBreakBefore/>
        <w:rPr>
          <w:sz w:val="23"/>
          <w:szCs w:val="23"/>
        </w:rPr>
      </w:pPr>
      <w:r>
        <w:rPr>
          <w:b/>
          <w:bCs/>
          <w:sz w:val="23"/>
          <w:szCs w:val="23"/>
        </w:rPr>
        <w:lastRenderedPageBreak/>
        <w:t xml:space="preserve">Induction records </w:t>
      </w:r>
    </w:p>
    <w:p w14:paraId="674407F7" w14:textId="77777777" w:rsidR="005872B1" w:rsidRDefault="005872B1" w:rsidP="00634181">
      <w:pPr>
        <w:pStyle w:val="Default"/>
        <w:rPr>
          <w:b/>
          <w:bCs/>
          <w:sz w:val="23"/>
          <w:szCs w:val="23"/>
        </w:rPr>
      </w:pPr>
    </w:p>
    <w:p w14:paraId="34FAB08B" w14:textId="0651DBDB" w:rsidR="00634181" w:rsidRPr="005872B1" w:rsidRDefault="00634181" w:rsidP="00634181">
      <w:pPr>
        <w:pStyle w:val="Default"/>
        <w:rPr>
          <w:rFonts w:asciiTheme="minorHAnsi" w:hAnsiTheme="minorHAnsi" w:cstheme="minorHAnsi"/>
          <w:sz w:val="23"/>
          <w:szCs w:val="23"/>
        </w:rPr>
      </w:pPr>
      <w:r w:rsidRPr="005872B1">
        <w:rPr>
          <w:rFonts w:asciiTheme="minorHAnsi" w:hAnsiTheme="minorHAnsi" w:cstheme="minorHAnsi"/>
          <w:b/>
          <w:bCs/>
          <w:sz w:val="23"/>
          <w:szCs w:val="23"/>
        </w:rPr>
        <w:t xml:space="preserve">During the visit (or before if records </w:t>
      </w:r>
      <w:r w:rsidR="005872B1" w:rsidRPr="005872B1">
        <w:rPr>
          <w:rFonts w:asciiTheme="minorHAnsi" w:hAnsiTheme="minorHAnsi" w:cstheme="minorHAnsi"/>
          <w:b/>
          <w:bCs/>
          <w:sz w:val="23"/>
          <w:szCs w:val="23"/>
        </w:rPr>
        <w:t>can</w:t>
      </w:r>
      <w:r w:rsidRPr="005872B1">
        <w:rPr>
          <w:rFonts w:asciiTheme="minorHAnsi" w:hAnsiTheme="minorHAnsi" w:cstheme="minorHAnsi"/>
          <w:b/>
          <w:bCs/>
          <w:sz w:val="23"/>
          <w:szCs w:val="23"/>
        </w:rPr>
        <w:t xml:space="preserve"> be sent electronically) the following could be examined: </w:t>
      </w:r>
    </w:p>
    <w:p w14:paraId="10539ABE"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Target setting and evidence of reviewing of targets </w:t>
      </w:r>
    </w:p>
    <w:p w14:paraId="7264211E"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Records of professional review meetings </w:t>
      </w:r>
    </w:p>
    <w:p w14:paraId="065781A6"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Lesson observation records </w:t>
      </w:r>
    </w:p>
    <w:p w14:paraId="6615799F"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Progress review and formal assessment reports </w:t>
      </w:r>
    </w:p>
    <w:p w14:paraId="60E7AB11" w14:textId="77777777" w:rsidR="00634181" w:rsidRPr="005872B1" w:rsidRDefault="00634181" w:rsidP="00634181">
      <w:pPr>
        <w:pStyle w:val="Default"/>
        <w:spacing w:after="22"/>
        <w:rPr>
          <w:rFonts w:asciiTheme="minorHAnsi" w:hAnsiTheme="minorHAnsi" w:cstheme="minorHAnsi"/>
          <w:sz w:val="23"/>
          <w:szCs w:val="23"/>
        </w:rPr>
      </w:pPr>
      <w:r w:rsidRPr="005872B1">
        <w:rPr>
          <w:rFonts w:asciiTheme="minorHAnsi" w:hAnsiTheme="minorHAnsi" w:cstheme="minorHAnsi"/>
          <w:sz w:val="23"/>
          <w:szCs w:val="23"/>
        </w:rPr>
        <w:t xml:space="preserve">- </w:t>
      </w:r>
      <w:r w:rsidRPr="005872B1">
        <w:rPr>
          <w:rFonts w:asciiTheme="minorHAnsi" w:hAnsiTheme="minorHAnsi" w:cstheme="minorHAnsi"/>
          <w:i/>
          <w:iCs/>
          <w:sz w:val="23"/>
          <w:szCs w:val="23"/>
        </w:rPr>
        <w:t xml:space="preserve">ECT professional development opportunities/programme </w:t>
      </w:r>
    </w:p>
    <w:p w14:paraId="329A9101" w14:textId="77777777" w:rsidR="00634181" w:rsidRPr="005872B1" w:rsidRDefault="00634181" w:rsidP="00634181">
      <w:pPr>
        <w:pStyle w:val="Default"/>
        <w:rPr>
          <w:rFonts w:asciiTheme="minorHAnsi" w:hAnsiTheme="minorHAnsi" w:cstheme="minorHAnsi"/>
          <w:sz w:val="23"/>
          <w:szCs w:val="23"/>
        </w:rPr>
      </w:pPr>
      <w:r w:rsidRPr="005872B1">
        <w:rPr>
          <w:rFonts w:asciiTheme="minorHAnsi" w:hAnsiTheme="minorHAnsi" w:cstheme="minorHAnsi"/>
          <w:sz w:val="23"/>
          <w:szCs w:val="23"/>
        </w:rPr>
        <w:t xml:space="preserve">- ECT Induction policy </w:t>
      </w:r>
    </w:p>
    <w:p w14:paraId="3AE61295" w14:textId="77777777" w:rsidR="00F94848" w:rsidRPr="006C6C81" w:rsidRDefault="00F94848" w:rsidP="006C6C81"/>
    <w:sectPr w:rsidR="00F94848" w:rsidRPr="006C6C81" w:rsidSect="00A10394">
      <w:headerReference w:type="default" r:id="rId13"/>
      <w:footerReference w:type="default" r:id="rId14"/>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92FEA" w14:textId="77777777" w:rsidR="008C3733" w:rsidRDefault="008C3733" w:rsidP="00A10394">
      <w:pPr>
        <w:spacing w:after="0" w:line="240" w:lineRule="auto"/>
      </w:pPr>
      <w:r>
        <w:separator/>
      </w:r>
    </w:p>
  </w:endnote>
  <w:endnote w:type="continuationSeparator" w:id="0">
    <w:p w14:paraId="7B765652" w14:textId="77777777" w:rsidR="008C3733" w:rsidRDefault="008C3733" w:rsidP="00A1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5E811E" w14:paraId="34E9EF52" w14:textId="77777777" w:rsidTr="725E811E">
      <w:trPr>
        <w:trHeight w:val="300"/>
      </w:trPr>
      <w:tc>
        <w:tcPr>
          <w:tcW w:w="3005" w:type="dxa"/>
        </w:tcPr>
        <w:p w14:paraId="1F53285D" w14:textId="0E44E14C" w:rsidR="725E811E" w:rsidRDefault="725E811E" w:rsidP="725E811E">
          <w:pPr>
            <w:pStyle w:val="Header"/>
            <w:ind w:left="-115"/>
          </w:pPr>
        </w:p>
      </w:tc>
      <w:tc>
        <w:tcPr>
          <w:tcW w:w="3005" w:type="dxa"/>
        </w:tcPr>
        <w:p w14:paraId="62A0A7E2" w14:textId="1D4D98C5" w:rsidR="725E811E" w:rsidRDefault="725E811E" w:rsidP="725E811E">
          <w:pPr>
            <w:pStyle w:val="Header"/>
            <w:jc w:val="center"/>
          </w:pPr>
        </w:p>
      </w:tc>
      <w:tc>
        <w:tcPr>
          <w:tcW w:w="3005" w:type="dxa"/>
        </w:tcPr>
        <w:p w14:paraId="1F0B4826" w14:textId="63FE4DDB" w:rsidR="725E811E" w:rsidRDefault="725E811E" w:rsidP="725E811E">
          <w:pPr>
            <w:pStyle w:val="Header"/>
            <w:ind w:right="-115"/>
            <w:jc w:val="right"/>
          </w:pPr>
        </w:p>
      </w:tc>
    </w:tr>
  </w:tbl>
  <w:p w14:paraId="36265289" w14:textId="029453F6" w:rsidR="725E811E" w:rsidRDefault="725E811E" w:rsidP="725E8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1F86B" w14:textId="77777777" w:rsidR="008C3733" w:rsidRDefault="008C3733" w:rsidP="00A10394">
      <w:pPr>
        <w:spacing w:after="0" w:line="240" w:lineRule="auto"/>
      </w:pPr>
      <w:r>
        <w:separator/>
      </w:r>
    </w:p>
  </w:footnote>
  <w:footnote w:type="continuationSeparator" w:id="0">
    <w:p w14:paraId="7731483C" w14:textId="77777777" w:rsidR="008C3733" w:rsidRDefault="008C3733" w:rsidP="00A1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944A" w14:textId="620D8939" w:rsidR="00A10394" w:rsidRDefault="00A10394">
    <w:pPr>
      <w:pStyle w:val="Header"/>
    </w:pPr>
    <w:r>
      <w:rPr>
        <w:noProof/>
      </w:rPr>
      <w:drawing>
        <wp:inline distT="0" distB="0" distL="0" distR="0" wp14:anchorId="253647EC" wp14:editId="3AA1B15A">
          <wp:extent cx="1627906" cy="853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639" cy="864309"/>
                  </a:xfrm>
                  <a:prstGeom prst="rect">
                    <a:avLst/>
                  </a:prstGeom>
                  <a:noFill/>
                </pic:spPr>
              </pic:pic>
            </a:graphicData>
          </a:graphic>
        </wp:inline>
      </w:drawing>
    </w:r>
    <w:r>
      <w:rPr>
        <w:noProof/>
      </w:rPr>
      <w:t xml:space="preserve">                                                                           </w:t>
    </w:r>
    <w:r>
      <w:rPr>
        <w:noProof/>
      </w:rPr>
      <w:drawing>
        <wp:inline distT="0" distB="0" distL="0" distR="0" wp14:anchorId="4A8C9211" wp14:editId="11E4BB80">
          <wp:extent cx="1728684" cy="771525"/>
          <wp:effectExtent l="0" t="0" r="5080" b="0"/>
          <wp:docPr id="3" name="Picture 3"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text, graphics,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4063" cy="7739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F257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78DB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3C13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E3EA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7C52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792ADD"/>
    <w:multiLevelType w:val="hybridMultilevel"/>
    <w:tmpl w:val="1EC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41AE4"/>
    <w:multiLevelType w:val="hybridMultilevel"/>
    <w:tmpl w:val="C47A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B63CA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7341933">
    <w:abstractNumId w:val="6"/>
  </w:num>
  <w:num w:numId="2" w16cid:durableId="1697344461">
    <w:abstractNumId w:val="2"/>
  </w:num>
  <w:num w:numId="3" w16cid:durableId="1459488951">
    <w:abstractNumId w:val="0"/>
  </w:num>
  <w:num w:numId="4" w16cid:durableId="83186068">
    <w:abstractNumId w:val="4"/>
  </w:num>
  <w:num w:numId="5" w16cid:durableId="1794204251">
    <w:abstractNumId w:val="7"/>
  </w:num>
  <w:num w:numId="6" w16cid:durableId="239994525">
    <w:abstractNumId w:val="1"/>
  </w:num>
  <w:num w:numId="7" w16cid:durableId="1490974869">
    <w:abstractNumId w:val="3"/>
  </w:num>
  <w:num w:numId="8" w16cid:durableId="516575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94"/>
    <w:rsid w:val="00011B80"/>
    <w:rsid w:val="00063D90"/>
    <w:rsid w:val="000D021D"/>
    <w:rsid w:val="000D0681"/>
    <w:rsid w:val="00192F78"/>
    <w:rsid w:val="001A4F44"/>
    <w:rsid w:val="001D610D"/>
    <w:rsid w:val="00227399"/>
    <w:rsid w:val="00235DB0"/>
    <w:rsid w:val="00273B43"/>
    <w:rsid w:val="002F53CE"/>
    <w:rsid w:val="00311766"/>
    <w:rsid w:val="00317E4C"/>
    <w:rsid w:val="005703FE"/>
    <w:rsid w:val="005872B1"/>
    <w:rsid w:val="0058768A"/>
    <w:rsid w:val="005F4633"/>
    <w:rsid w:val="00634181"/>
    <w:rsid w:val="00645668"/>
    <w:rsid w:val="00681D07"/>
    <w:rsid w:val="006C6C81"/>
    <w:rsid w:val="007070E1"/>
    <w:rsid w:val="00711761"/>
    <w:rsid w:val="0073665C"/>
    <w:rsid w:val="00776A94"/>
    <w:rsid w:val="008C3733"/>
    <w:rsid w:val="009800B7"/>
    <w:rsid w:val="009E48CC"/>
    <w:rsid w:val="00A10394"/>
    <w:rsid w:val="00A66F09"/>
    <w:rsid w:val="00AE19D7"/>
    <w:rsid w:val="00B02F53"/>
    <w:rsid w:val="00B50259"/>
    <w:rsid w:val="00C13449"/>
    <w:rsid w:val="00CB40EC"/>
    <w:rsid w:val="00CE0E35"/>
    <w:rsid w:val="00CF260A"/>
    <w:rsid w:val="00D438B8"/>
    <w:rsid w:val="00D856EE"/>
    <w:rsid w:val="00DE10F3"/>
    <w:rsid w:val="00EF71BF"/>
    <w:rsid w:val="00F6134D"/>
    <w:rsid w:val="00F94848"/>
    <w:rsid w:val="00FE59D7"/>
    <w:rsid w:val="725E8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57E0"/>
  <w15:chartTrackingRefBased/>
  <w15:docId w15:val="{31795A56-26E4-4E7D-BA00-AC8443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FE"/>
    <w:pPr>
      <w:suppressAutoHyphens/>
      <w:autoSpaceDN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394"/>
    <w:pPr>
      <w:tabs>
        <w:tab w:val="center" w:pos="4513"/>
        <w:tab w:val="right" w:pos="9026"/>
      </w:tabs>
      <w:suppressAutoHyphens w:val="0"/>
      <w:autoSpaceDN/>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10394"/>
  </w:style>
  <w:style w:type="paragraph" w:styleId="Footer">
    <w:name w:val="footer"/>
    <w:basedOn w:val="Normal"/>
    <w:link w:val="FooterChar"/>
    <w:uiPriority w:val="99"/>
    <w:unhideWhenUsed/>
    <w:rsid w:val="00A10394"/>
    <w:pPr>
      <w:tabs>
        <w:tab w:val="center" w:pos="4513"/>
        <w:tab w:val="right" w:pos="9026"/>
      </w:tabs>
      <w:suppressAutoHyphens w:val="0"/>
      <w:autoSpaceDN/>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10394"/>
  </w:style>
  <w:style w:type="character" w:styleId="Hyperlink">
    <w:name w:val="Hyperlink"/>
    <w:rsid w:val="00FE59D7"/>
    <w:rPr>
      <w:color w:val="0000FF"/>
      <w:u w:val="single"/>
    </w:rPr>
  </w:style>
  <w:style w:type="character" w:styleId="FollowedHyperlink">
    <w:name w:val="FollowedHyperlink"/>
    <w:basedOn w:val="DefaultParagraphFont"/>
    <w:uiPriority w:val="99"/>
    <w:semiHidden/>
    <w:unhideWhenUsed/>
    <w:rsid w:val="005703FE"/>
    <w:rPr>
      <w:color w:val="954F72" w:themeColor="followedHyperlink"/>
      <w:u w:val="single"/>
    </w:rPr>
  </w:style>
  <w:style w:type="character" w:styleId="UnresolvedMention">
    <w:name w:val="Unresolved Mention"/>
    <w:basedOn w:val="DefaultParagraphFont"/>
    <w:uiPriority w:val="99"/>
    <w:semiHidden/>
    <w:unhideWhenUsed/>
    <w:rsid w:val="005703FE"/>
    <w:rPr>
      <w:color w:val="605E5C"/>
      <w:shd w:val="clear" w:color="auto" w:fill="E1DFDD"/>
    </w:rPr>
  </w:style>
  <w:style w:type="paragraph" w:customStyle="1" w:styleId="Default">
    <w:name w:val="Default"/>
    <w:rsid w:val="0063418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0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51553/Statutory_Induction_for_early_career_teachers_englan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eachers-standard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1151553/Statutory_Induction_for_early_career_teachers_englan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61944f-31c5-427e-a7df-79a9bfc519f6" xsi:nil="true"/>
    <lcf76f155ced4ddcb4097134ff3c332f xmlns="72f5ae67-8a39-4676-a65f-12ddc9f73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D42E32A6FDB47B85289D327832F0D" ma:contentTypeVersion="19" ma:contentTypeDescription="Create a new document." ma:contentTypeScope="" ma:versionID="f6f1f54d1e135a8db23a3962aede46d8">
  <xsd:schema xmlns:xsd="http://www.w3.org/2001/XMLSchema" xmlns:xs="http://www.w3.org/2001/XMLSchema" xmlns:p="http://schemas.microsoft.com/office/2006/metadata/properties" xmlns:ns2="72f5ae67-8a39-4676-a65f-12ddc9f7394e" xmlns:ns3="9f61944f-31c5-427e-a7df-79a9bfc519f6" targetNamespace="http://schemas.microsoft.com/office/2006/metadata/properties" ma:root="true" ma:fieldsID="0b9a3fb91d8905a64898aab160f3e9c3" ns2:_="" ns3:_="">
    <xsd:import namespace="72f5ae67-8a39-4676-a65f-12ddc9f7394e"/>
    <xsd:import namespace="9f61944f-31c5-427e-a7df-79a9bfc519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5ae67-8a39-4676-a65f-12ddc9f73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944f-31c5-427e-a7df-79a9bfc519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b52eed-9910-49e6-93d8-a2ba71e629bc}" ma:internalName="TaxCatchAll" ma:showField="CatchAllData" ma:web="9f61944f-31c5-427e-a7df-79a9bfc51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83CD5-20B3-463B-A067-D89656FFB919}">
  <ds:schemaRefs>
    <ds:schemaRef ds:uri="http://schemas.microsoft.com/sharepoint/v3/contenttype/forms"/>
  </ds:schemaRefs>
</ds:datastoreItem>
</file>

<file path=customXml/itemProps2.xml><?xml version="1.0" encoding="utf-8"?>
<ds:datastoreItem xmlns:ds="http://schemas.openxmlformats.org/officeDocument/2006/customXml" ds:itemID="{D944A930-D475-4A4D-A5C7-34497BA77363}">
  <ds:schemaRefs>
    <ds:schemaRef ds:uri="http://schemas.microsoft.com/office/2006/metadata/properties"/>
    <ds:schemaRef ds:uri="http://schemas.microsoft.com/office/infopath/2007/PartnerControls"/>
    <ds:schemaRef ds:uri="9f61944f-31c5-427e-a7df-79a9bfc519f6"/>
    <ds:schemaRef ds:uri="72f5ae67-8a39-4676-a65f-12ddc9f7394e"/>
  </ds:schemaRefs>
</ds:datastoreItem>
</file>

<file path=customXml/itemProps3.xml><?xml version="1.0" encoding="utf-8"?>
<ds:datastoreItem xmlns:ds="http://schemas.openxmlformats.org/officeDocument/2006/customXml" ds:itemID="{AD84F96B-059D-4055-A1F8-A2FDC8395FDC}"/>
</file>

<file path=docProps/app.xml><?xml version="1.0" encoding="utf-8"?>
<Properties xmlns="http://schemas.openxmlformats.org/officeDocument/2006/extended-properties" xmlns:vt="http://schemas.openxmlformats.org/officeDocument/2006/docPropsVTypes">
  <Template>Normal</Template>
  <TotalTime>7</TotalTime>
  <Pages>4</Pages>
  <Words>1017</Words>
  <Characters>5803</Characters>
  <Application>Microsoft Office Word</Application>
  <DocSecurity>0</DocSecurity>
  <Lines>48</Lines>
  <Paragraphs>13</Paragraphs>
  <ScaleCrop>false</ScaleCrop>
  <Company>Meridian Trust</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Newman</dc:creator>
  <cp:keywords/>
  <dc:description/>
  <cp:lastModifiedBy>Helen Thatcher</cp:lastModifiedBy>
  <cp:revision>4</cp:revision>
  <dcterms:created xsi:type="dcterms:W3CDTF">2024-10-18T10:28:00Z</dcterms:created>
  <dcterms:modified xsi:type="dcterms:W3CDTF">2025-01-16T09:17:00Z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0x010100BB3D42E32A6FDB47B85289D327832F0D</vt:lpwstr>
  </property>
  <property fmtid="{D5CDD505-2E9C-101B-9397-08002B2CF9AE}" pid="3" name="MediaServiceImageTags">
    <vt:lpwstr/>
  </property>
</Properties>
</file>